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3684"/>
      </w:tblGrid>
      <w:tr w:rsidR="00224810" w:rsidRPr="00377162" w:rsidTr="002248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ЈКП“Градска топлана Ужице“</w:t>
            </w:r>
          </w:p>
        </w:tc>
      </w:tr>
      <w:tr w:rsidR="00224810" w:rsidRPr="00377162" w:rsidTr="002248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Трг партизана 26</w:t>
            </w:r>
          </w:p>
        </w:tc>
      </w:tr>
      <w:tr w:rsidR="00224810" w:rsidRPr="00377162" w:rsidTr="002248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Ужице</w:t>
            </w:r>
          </w:p>
        </w:tc>
      </w:tr>
      <w:tr w:rsidR="00224810" w:rsidRPr="00377162" w:rsidTr="002248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  <w:lang w:val="sr-Latn-CS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 w:rsidP="00224810">
            <w:pPr>
              <w:rPr>
                <w:rFonts w:ascii="Arial" w:hAnsi="Arial" w:cs="Arial"/>
              </w:rPr>
            </w:pPr>
            <w:r w:rsidRPr="00377162">
              <w:rPr>
                <w:rFonts w:ascii="Arial" w:hAnsi="Arial" w:cs="Arial"/>
                <w:lang w:val="sr-Cyrl-CS"/>
              </w:rPr>
              <w:t>01-5/</w:t>
            </w:r>
            <w:r w:rsidR="00377162" w:rsidRPr="00377162">
              <w:rPr>
                <w:rFonts w:ascii="Arial" w:hAnsi="Arial" w:cs="Arial"/>
              </w:rPr>
              <w:t>12</w:t>
            </w:r>
          </w:p>
        </w:tc>
      </w:tr>
      <w:tr w:rsidR="00224810" w:rsidRPr="00377162" w:rsidTr="002248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377162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</w:rPr>
              <w:t>13.03.2014</w:t>
            </w:r>
            <w:r w:rsidR="00224810" w:rsidRPr="00377162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224810" w:rsidRPr="00377162" w:rsidRDefault="00224810" w:rsidP="00224810">
      <w:pPr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>На основу члана 109. Закона о јавним набавкама (''Сл</w:t>
      </w:r>
      <w:r w:rsidRPr="00377162">
        <w:rPr>
          <w:rFonts w:ascii="Arial" w:hAnsi="Arial" w:cs="Arial"/>
          <w:lang w:val="sr-Latn-CS"/>
        </w:rPr>
        <w:t>.</w:t>
      </w:r>
      <w:r w:rsidRPr="00377162">
        <w:rPr>
          <w:rFonts w:ascii="Arial" w:hAnsi="Arial" w:cs="Arial"/>
          <w:lang w:val="sr-Cyrl-CS"/>
        </w:rPr>
        <w:t xml:space="preserve"> гласник РС'' бр. 124/12), директор ЈКП“Градска топлана Ужице“ из Ужица доноси: </w:t>
      </w: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center"/>
        <w:rPr>
          <w:rFonts w:ascii="Arial" w:hAnsi="Arial" w:cs="Arial"/>
          <w:b/>
          <w:lang w:val="sr-Cyrl-CS"/>
        </w:rPr>
      </w:pPr>
      <w:r w:rsidRPr="00377162">
        <w:rPr>
          <w:rFonts w:ascii="Arial" w:hAnsi="Arial" w:cs="Arial"/>
          <w:b/>
          <w:lang w:val="sr-Cyrl-CS"/>
        </w:rPr>
        <w:t>О Д Л У К</w:t>
      </w:r>
      <w:r w:rsidRPr="00377162">
        <w:rPr>
          <w:rFonts w:ascii="Arial" w:hAnsi="Arial" w:cs="Arial"/>
          <w:b/>
          <w:lang w:val="ru-RU"/>
        </w:rPr>
        <w:t xml:space="preserve"> </w:t>
      </w:r>
      <w:r w:rsidRPr="00377162">
        <w:rPr>
          <w:rFonts w:ascii="Arial" w:hAnsi="Arial" w:cs="Arial"/>
          <w:b/>
          <w:lang w:val="sr-Cyrl-CS"/>
        </w:rPr>
        <w:t xml:space="preserve">У </w:t>
      </w:r>
    </w:p>
    <w:p w:rsidR="00224810" w:rsidRPr="00377162" w:rsidRDefault="00224810" w:rsidP="00224810">
      <w:pPr>
        <w:jc w:val="center"/>
        <w:rPr>
          <w:rFonts w:ascii="Arial" w:hAnsi="Arial" w:cs="Arial"/>
          <w:b/>
        </w:rPr>
      </w:pPr>
      <w:r w:rsidRPr="00377162">
        <w:rPr>
          <w:rFonts w:ascii="Arial" w:hAnsi="Arial" w:cs="Arial"/>
          <w:b/>
          <w:lang w:val="sr-Cyrl-CS"/>
        </w:rPr>
        <w:t xml:space="preserve">о обустави </w:t>
      </w:r>
      <w:proofErr w:type="spellStart"/>
      <w:r w:rsidRPr="00377162">
        <w:rPr>
          <w:rFonts w:ascii="Arial" w:hAnsi="Arial" w:cs="Arial"/>
          <w:b/>
        </w:rPr>
        <w:t>поступка</w:t>
      </w:r>
      <w:proofErr w:type="spellEnd"/>
      <w:r w:rsidRPr="00377162">
        <w:rPr>
          <w:rFonts w:ascii="Arial" w:hAnsi="Arial" w:cs="Arial"/>
          <w:b/>
        </w:rPr>
        <w:t xml:space="preserve"> </w:t>
      </w:r>
      <w:proofErr w:type="spellStart"/>
      <w:r w:rsidRPr="00377162">
        <w:rPr>
          <w:rFonts w:ascii="Arial" w:hAnsi="Arial" w:cs="Arial"/>
          <w:b/>
        </w:rPr>
        <w:t>јавне</w:t>
      </w:r>
      <w:proofErr w:type="spellEnd"/>
      <w:r w:rsidRPr="00377162">
        <w:rPr>
          <w:rFonts w:ascii="Arial" w:hAnsi="Arial" w:cs="Arial"/>
          <w:b/>
        </w:rPr>
        <w:t xml:space="preserve"> </w:t>
      </w:r>
      <w:proofErr w:type="spellStart"/>
      <w:r w:rsidRPr="00377162">
        <w:rPr>
          <w:rFonts w:ascii="Arial" w:hAnsi="Arial" w:cs="Arial"/>
          <w:b/>
        </w:rPr>
        <w:t>набавке</w:t>
      </w:r>
      <w:proofErr w:type="spellEnd"/>
      <w:r w:rsidRPr="00377162">
        <w:rPr>
          <w:rFonts w:ascii="Arial" w:hAnsi="Arial" w:cs="Arial"/>
          <w:b/>
        </w:rPr>
        <w:t xml:space="preserve"> </w:t>
      </w:r>
      <w:proofErr w:type="spellStart"/>
      <w:r w:rsidRPr="00377162">
        <w:rPr>
          <w:rFonts w:ascii="Arial" w:hAnsi="Arial" w:cs="Arial"/>
          <w:b/>
        </w:rPr>
        <w:t>мале</w:t>
      </w:r>
      <w:proofErr w:type="spellEnd"/>
      <w:r w:rsidRPr="00377162">
        <w:rPr>
          <w:rFonts w:ascii="Arial" w:hAnsi="Arial" w:cs="Arial"/>
          <w:b/>
        </w:rPr>
        <w:t xml:space="preserve"> </w:t>
      </w:r>
      <w:proofErr w:type="spellStart"/>
      <w:r w:rsidRPr="00377162">
        <w:rPr>
          <w:rFonts w:ascii="Arial" w:hAnsi="Arial" w:cs="Arial"/>
          <w:b/>
        </w:rPr>
        <w:t>вредности</w:t>
      </w:r>
      <w:proofErr w:type="spellEnd"/>
    </w:p>
    <w:p w:rsidR="00224810" w:rsidRPr="00377162" w:rsidRDefault="00224810" w:rsidP="00224810">
      <w:pPr>
        <w:rPr>
          <w:rFonts w:ascii="Arial" w:hAnsi="Arial" w:cs="Arial"/>
          <w:b/>
          <w:lang w:val="sr-Cyrl-CS"/>
        </w:rPr>
      </w:pPr>
    </w:p>
    <w:p w:rsidR="00224810" w:rsidRPr="00377162" w:rsidRDefault="00224810" w:rsidP="00224810">
      <w:pPr>
        <w:spacing w:line="276" w:lineRule="auto"/>
        <w:jc w:val="both"/>
        <w:rPr>
          <w:rFonts w:ascii="Arial" w:hAnsi="Arial" w:cs="Arial"/>
        </w:rPr>
      </w:pPr>
      <w:r w:rsidRPr="00377162">
        <w:rPr>
          <w:rFonts w:ascii="Arial" w:hAnsi="Arial" w:cs="Arial"/>
          <w:b/>
          <w:lang w:val="sr-Cyrl-CS"/>
        </w:rPr>
        <w:t xml:space="preserve">        ОБУСТАВЉА </w:t>
      </w:r>
      <w:r w:rsidRPr="00377162">
        <w:rPr>
          <w:rFonts w:ascii="Arial" w:hAnsi="Arial" w:cs="Arial"/>
          <w:lang w:val="sr-Cyrl-CS"/>
        </w:rPr>
        <w:t>се поступак јавне набавке мале вредности  добара-хемикалије за кондиционирање воде</w:t>
      </w:r>
      <w:r w:rsidRPr="00377162">
        <w:rPr>
          <w:rFonts w:ascii="Arial" w:hAnsi="Arial" w:cs="Arial"/>
        </w:rPr>
        <w:t xml:space="preserve"> (24311500-хидроксиди </w:t>
      </w:r>
      <w:proofErr w:type="spellStart"/>
      <w:r w:rsidRPr="00377162">
        <w:rPr>
          <w:rFonts w:ascii="Arial" w:hAnsi="Arial" w:cs="Arial"/>
        </w:rPr>
        <w:t>као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основне</w:t>
      </w:r>
      <w:proofErr w:type="spellEnd"/>
      <w:r w:rsidRPr="00377162">
        <w:rPr>
          <w:rFonts w:ascii="Arial" w:hAnsi="Arial" w:cs="Arial"/>
        </w:rPr>
        <w:t xml:space="preserve"> хемикалије-КА01-за </w:t>
      </w:r>
      <w:proofErr w:type="spellStart"/>
      <w:r w:rsidRPr="00377162">
        <w:rPr>
          <w:rFonts w:ascii="Arial" w:hAnsi="Arial" w:cs="Arial"/>
        </w:rPr>
        <w:t>даљинско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грејање</w:t>
      </w:r>
      <w:proofErr w:type="spellEnd"/>
      <w:r w:rsidRPr="00377162">
        <w:rPr>
          <w:rFonts w:ascii="Arial" w:hAnsi="Arial" w:cs="Arial"/>
        </w:rPr>
        <w:t>)</w:t>
      </w:r>
      <w:r w:rsidRPr="00377162">
        <w:rPr>
          <w:rFonts w:ascii="Arial" w:hAnsi="Arial" w:cs="Arial"/>
          <w:lang w:val="sr-Cyrl-CS"/>
        </w:rPr>
        <w:t xml:space="preserve"> редни број ЈНМВ 6-2013</w:t>
      </w: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center"/>
        <w:rPr>
          <w:rFonts w:ascii="Arial" w:hAnsi="Arial" w:cs="Arial"/>
          <w:b/>
          <w:lang w:val="sr-Latn-CS"/>
        </w:rPr>
      </w:pPr>
      <w:r w:rsidRPr="00377162">
        <w:rPr>
          <w:rFonts w:ascii="Arial" w:hAnsi="Arial" w:cs="Arial"/>
          <w:b/>
          <w:lang w:val="sr-Cyrl-CS"/>
        </w:rPr>
        <w:t>О б р а з л о ж е њ е</w:t>
      </w:r>
    </w:p>
    <w:p w:rsidR="00224810" w:rsidRPr="00377162" w:rsidRDefault="00224810" w:rsidP="00224810">
      <w:pPr>
        <w:rPr>
          <w:rFonts w:ascii="Arial" w:hAnsi="Arial" w:cs="Arial"/>
          <w:b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>Наручилац је дана 08.10.2013. године донео одлуку о покретању јавне набавке  мале вредности бр.6-2013, за јавну набавку добара- хемикалије за кондиционирање воде редни број ЈНМВ 6-2013.</w:t>
      </w: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Latn-CS"/>
        </w:rPr>
      </w:pPr>
      <w:r w:rsidRPr="00377162">
        <w:rPr>
          <w:rFonts w:ascii="Arial" w:hAnsi="Arial" w:cs="Arial"/>
          <w:b/>
          <w:lang w:val="sr-Cyrl-CS"/>
        </w:rPr>
        <w:t xml:space="preserve">Предметни поступак је обустављен у фази: </w:t>
      </w: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6494"/>
        <w:gridCol w:w="722"/>
      </w:tblGrid>
      <w:tr w:rsidR="00224810" w:rsidRPr="00377162" w:rsidTr="00224810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Пре истека рока за подношење</w:t>
            </w:r>
            <w:r w:rsidRPr="00377162">
              <w:rPr>
                <w:rFonts w:ascii="Arial" w:hAnsi="Arial" w:cs="Arial"/>
                <w:lang w:val="ru-RU"/>
              </w:rPr>
              <w:t xml:space="preserve"> </w:t>
            </w:r>
            <w:r w:rsidRPr="00377162">
              <w:rPr>
                <w:rFonts w:ascii="Arial" w:hAnsi="Arial" w:cs="Arial"/>
                <w:lang w:val="sr-Cyrl-CS"/>
              </w:rPr>
              <w:t xml:space="preserve">понуда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</w:p>
        </w:tc>
      </w:tr>
      <w:tr w:rsidR="00224810" w:rsidRPr="00377162" w:rsidTr="00224810">
        <w:trPr>
          <w:trHeight w:val="545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4810" w:rsidRPr="00377162" w:rsidRDefault="00224810">
            <w:pPr>
              <w:jc w:val="both"/>
              <w:rPr>
                <w:rFonts w:ascii="Arial" w:hAnsi="Arial" w:cs="Arial"/>
                <w:lang w:val="sr-Latn-CS"/>
              </w:rPr>
            </w:pPr>
            <w:r w:rsidRPr="00377162">
              <w:rPr>
                <w:rFonts w:ascii="Arial" w:hAnsi="Arial" w:cs="Arial"/>
                <w:lang w:val="sr-Cyrl-CS"/>
              </w:rPr>
              <w:t xml:space="preserve">После истека рока за подношење понуда, </w:t>
            </w:r>
          </w:p>
          <w:p w:rsidR="00224810" w:rsidRPr="00377162" w:rsidRDefault="00224810">
            <w:pPr>
              <w:jc w:val="both"/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а пре доношења одлуке о избору најповољније понуде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</w:p>
        </w:tc>
      </w:tr>
      <w:tr w:rsidR="00224810" w:rsidRPr="00377162" w:rsidTr="00224810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  <w:r w:rsidRPr="00377162">
              <w:rPr>
                <w:rFonts w:ascii="Arial" w:hAnsi="Arial" w:cs="Arial"/>
                <w:lang w:val="sr-Cyrl-CS"/>
              </w:rPr>
              <w:t>После доношења одлуке о избору најповољније понуде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10" w:rsidRPr="00377162" w:rsidRDefault="00377162">
            <w:pPr>
              <w:jc w:val="center"/>
              <w:rPr>
                <w:rFonts w:ascii="Arial" w:hAnsi="Arial" w:cs="Arial"/>
              </w:rPr>
            </w:pPr>
            <w:r w:rsidRPr="00377162">
              <w:rPr>
                <w:rFonts w:ascii="Arial" w:hAnsi="Arial" w:cs="Arial"/>
              </w:rPr>
              <w:t>X</w:t>
            </w:r>
          </w:p>
        </w:tc>
      </w:tr>
    </w:tbl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  <w:r w:rsidRPr="00377162">
        <w:rPr>
          <w:rFonts w:ascii="Arial" w:hAnsi="Arial" w:cs="Arial"/>
          <w:b/>
          <w:lang w:val="sr-Cyrl-CS"/>
        </w:rPr>
        <w:t>Разлог за обуставу поступка:</w:t>
      </w:r>
    </w:p>
    <w:p w:rsidR="00224810" w:rsidRPr="00377162" w:rsidRDefault="00224810" w:rsidP="00224810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9630" w:type="dxa"/>
        <w:tblInd w:w="108" w:type="dxa"/>
        <w:tblLayout w:type="fixed"/>
        <w:tblLook w:val="01E0"/>
      </w:tblPr>
      <w:tblGrid>
        <w:gridCol w:w="8910"/>
        <w:gridCol w:w="720"/>
      </w:tblGrid>
      <w:tr w:rsidR="00224810" w:rsidRPr="00377162" w:rsidTr="00224810">
        <w:trPr>
          <w:trHeight w:val="552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У року за подношење понуда није поднета ниједна понуда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sz w:val="20"/>
                <w:szCs w:val="20"/>
              </w:rPr>
            </w:pPr>
          </w:p>
        </w:tc>
      </w:tr>
      <w:tr w:rsidR="00224810" w:rsidRPr="00377162" w:rsidTr="00224810">
        <w:trPr>
          <w:trHeight w:val="537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4810" w:rsidRPr="00377162" w:rsidRDefault="00224810">
            <w:pPr>
              <w:rPr>
                <w:rFonts w:ascii="Arial" w:hAnsi="Arial" w:cs="Arial"/>
                <w:lang w:val="sr-Latn-CS"/>
              </w:rPr>
            </w:pPr>
            <w:r w:rsidRPr="00377162">
              <w:rPr>
                <w:rFonts w:ascii="Arial" w:hAnsi="Arial" w:cs="Arial"/>
                <w:lang w:val="sr-Cyrl-CS"/>
              </w:rPr>
              <w:t>У року за подношење понуда поднете су све неприхватљиве</w:t>
            </w:r>
          </w:p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Latn-CS"/>
              </w:rPr>
              <w:t>понуде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  <w:r w:rsidRPr="00377162">
              <w:rPr>
                <w:rFonts w:ascii="Arial" w:hAnsi="Arial" w:cs="Arial"/>
                <w:lang w:val="ru-RU"/>
              </w:rPr>
              <w:t>Х</w:t>
            </w:r>
          </w:p>
        </w:tc>
      </w:tr>
      <w:tr w:rsidR="00224810" w:rsidRPr="00377162" w:rsidTr="00224810">
        <w:trPr>
          <w:trHeight w:val="1387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4810" w:rsidRPr="00377162" w:rsidRDefault="00224810">
            <w:pPr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lang w:val="sr-Cyrl-CS"/>
              </w:rPr>
              <w:t>Објективни и доказиви разлози,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</w:t>
            </w:r>
            <w:r w:rsidRPr="00377162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10" w:rsidRPr="00377162" w:rsidRDefault="0022481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224810" w:rsidRPr="00377162" w:rsidRDefault="00224810" w:rsidP="00224810">
      <w:pPr>
        <w:ind w:left="360"/>
        <w:jc w:val="both"/>
        <w:rPr>
          <w:rFonts w:ascii="Arial" w:hAnsi="Arial" w:cs="Arial"/>
          <w:lang w:val="ru-RU"/>
        </w:rPr>
      </w:pPr>
    </w:p>
    <w:p w:rsidR="00224810" w:rsidRDefault="00224810" w:rsidP="00224810">
      <w:pPr>
        <w:jc w:val="both"/>
        <w:rPr>
          <w:rFonts w:ascii="Arial" w:hAnsi="Arial" w:cs="Arial"/>
          <w:b/>
          <w:lang w:val="sr-Cyrl-CS"/>
        </w:rPr>
      </w:pPr>
      <w:r w:rsidRPr="00377162">
        <w:rPr>
          <w:rFonts w:ascii="Arial" w:hAnsi="Arial" w:cs="Arial"/>
          <w:b/>
          <w:lang w:val="sr-Cyrl-CS"/>
        </w:rPr>
        <w:t>Образложење:</w:t>
      </w:r>
    </w:p>
    <w:p w:rsidR="00C25F02" w:rsidRPr="00377162" w:rsidRDefault="00C25F02" w:rsidP="00C25F02">
      <w:pPr>
        <w:jc w:val="both"/>
        <w:rPr>
          <w:rFonts w:ascii="Arial" w:hAnsi="Arial" w:cs="Arial"/>
        </w:rPr>
      </w:pPr>
      <w:proofErr w:type="spellStart"/>
      <w:proofErr w:type="gramStart"/>
      <w:r w:rsidRPr="00377162">
        <w:rPr>
          <w:rFonts w:ascii="Arial" w:hAnsi="Arial" w:cs="Arial"/>
        </w:rPr>
        <w:t>Све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поднете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понуде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су</w:t>
      </w:r>
      <w:proofErr w:type="spellEnd"/>
      <w:r w:rsidRPr="00377162">
        <w:rPr>
          <w:rFonts w:ascii="Arial" w:hAnsi="Arial" w:cs="Arial"/>
        </w:rPr>
        <w:t xml:space="preserve"> </w:t>
      </w:r>
      <w:proofErr w:type="spellStart"/>
      <w:r w:rsidRPr="00377162">
        <w:rPr>
          <w:rFonts w:ascii="Arial" w:hAnsi="Arial" w:cs="Arial"/>
        </w:rPr>
        <w:t>неприхватљиве</w:t>
      </w:r>
      <w:proofErr w:type="spellEnd"/>
      <w:r w:rsidRPr="00377162">
        <w:rPr>
          <w:rFonts w:ascii="Arial" w:hAnsi="Arial" w:cs="Arial"/>
        </w:rPr>
        <w:t>.</w:t>
      </w:r>
      <w:proofErr w:type="gramEnd"/>
    </w:p>
    <w:p w:rsidR="00C25F02" w:rsidRPr="00377162" w:rsidRDefault="00C25F02" w:rsidP="00224810">
      <w:pPr>
        <w:jc w:val="both"/>
        <w:rPr>
          <w:rFonts w:ascii="Arial" w:hAnsi="Arial" w:cs="Arial"/>
          <w:b/>
          <w:lang w:val="sr-Cyrl-CS"/>
        </w:rPr>
      </w:pPr>
    </w:p>
    <w:p w:rsidR="00224810" w:rsidRPr="00377162" w:rsidRDefault="00377162" w:rsidP="00224810">
      <w:pPr>
        <w:jc w:val="both"/>
        <w:rPr>
          <w:rFonts w:ascii="Arial" w:hAnsi="Arial" w:cs="Arial"/>
          <w:lang/>
        </w:rPr>
      </w:pPr>
      <w:proofErr w:type="spellStart"/>
      <w:proofErr w:type="gram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Републичке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бр.4-00-2520/2013</w:t>
      </w:r>
      <w:r w:rsidR="004007A3">
        <w:rPr>
          <w:rFonts w:ascii="Arial" w:hAnsi="Arial" w:cs="Arial"/>
          <w:lang/>
        </w:rPr>
        <w:t xml:space="preserve"> од 05.02.2014.</w:t>
      </w:r>
      <w:proofErr w:type="gramEnd"/>
      <w:r w:rsidR="004007A3">
        <w:rPr>
          <w:rFonts w:ascii="Arial" w:hAnsi="Arial" w:cs="Arial"/>
          <w:lang/>
        </w:rPr>
        <w:t xml:space="preserve"> делимично се поништава поступак јавне набавке у делу стручне оцене понуда и у одлуке о додели уговора. Наложено нам је да од Института за јавно здравље „Милан Јовановић Батут“ затражимо писмени одговор да ли је њихов резултат испитивања који је приложио понуђач „Ovex inženjering“</w:t>
      </w:r>
      <w:r w:rsidR="004007A3">
        <w:rPr>
          <w:rFonts w:ascii="Arial" w:hAnsi="Arial" w:cs="Arial"/>
          <w:lang/>
        </w:rPr>
        <w:t xml:space="preserve"> Београд важећи. Од Института смо добили одговор да је престала важност издатог сертификата</w:t>
      </w:r>
      <w:r w:rsidR="00C25F02">
        <w:rPr>
          <w:rFonts w:ascii="Arial" w:hAnsi="Arial" w:cs="Arial"/>
          <w:lang/>
        </w:rPr>
        <w:t>, па је и понуда „Ovex inženjering“ Београд неприхватљива.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224810" w:rsidRPr="00377162" w:rsidTr="0022481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224810" w:rsidRPr="00377162" w:rsidRDefault="00224810" w:rsidP="00C25F02">
            <w:pPr>
              <w:jc w:val="both"/>
              <w:rPr>
                <w:rFonts w:ascii="Arial" w:hAnsi="Arial" w:cs="Arial"/>
                <w:lang w:val="sr-Latn-CS"/>
              </w:rPr>
            </w:pPr>
          </w:p>
        </w:tc>
      </w:tr>
    </w:tbl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  <w:r w:rsidRPr="00377162">
        <w:rPr>
          <w:rFonts w:ascii="Arial" w:hAnsi="Arial" w:cs="Arial"/>
          <w:b/>
          <w:lang w:val="sr-Cyrl-CS"/>
        </w:rPr>
        <w:t>Трошкови припремања понуде:</w:t>
      </w: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>Трошкове припремања и подношења понуде понуде сноси искључиво понуђач сходно члану 88. став 3. Закона о јавним набавкама.</w:t>
      </w:r>
    </w:p>
    <w:p w:rsidR="00224810" w:rsidRPr="00377162" w:rsidRDefault="00224810" w:rsidP="00224810">
      <w:pPr>
        <w:ind w:left="720"/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b/>
          <w:lang w:val="sr-Cyrl-CS"/>
        </w:rPr>
      </w:pPr>
      <w:r w:rsidRPr="00377162">
        <w:rPr>
          <w:rFonts w:ascii="Arial" w:hAnsi="Arial" w:cs="Arial"/>
          <w:b/>
          <w:lang w:val="sr-Cyrl-CS"/>
        </w:rPr>
        <w:t xml:space="preserve">ПОУКА О ПРАВНОМ ЛЕКУ: </w:t>
      </w:r>
    </w:p>
    <w:p w:rsidR="00224810" w:rsidRPr="00377162" w:rsidRDefault="00224810" w:rsidP="00224810">
      <w:pPr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 xml:space="preserve">Против ове одлуке понуђач може наручиоцу </w:t>
      </w:r>
    </w:p>
    <w:p w:rsidR="00224810" w:rsidRPr="00377162" w:rsidRDefault="00224810" w:rsidP="00224810">
      <w:pPr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 xml:space="preserve">поднети захтев за заштиту права </w:t>
      </w:r>
    </w:p>
    <w:p w:rsidR="00224810" w:rsidRPr="00377162" w:rsidRDefault="00224810" w:rsidP="00224810">
      <w:pPr>
        <w:rPr>
          <w:rFonts w:ascii="Arial" w:hAnsi="Arial" w:cs="Arial"/>
          <w:lang w:val="sr-Cyrl-CS"/>
        </w:rPr>
      </w:pPr>
      <w:r w:rsidRPr="00377162">
        <w:rPr>
          <w:rFonts w:ascii="Arial" w:hAnsi="Arial" w:cs="Arial"/>
          <w:lang w:val="sr-Cyrl-CS"/>
        </w:rPr>
        <w:t>у року од 5 дана од дана пријема исте.</w:t>
      </w: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5508" w:type="dxa"/>
        <w:tblLook w:val="01E0"/>
      </w:tblPr>
      <w:tblGrid>
        <w:gridCol w:w="3348"/>
      </w:tblGrid>
      <w:tr w:rsidR="00224810" w:rsidRPr="00377162" w:rsidTr="0022481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810" w:rsidRPr="00377162" w:rsidRDefault="00224810">
            <w:pPr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377162">
              <w:rPr>
                <w:rFonts w:ascii="Arial" w:hAnsi="Arial" w:cs="Arial"/>
                <w:b/>
                <w:lang w:val="sr-Cyrl-CS"/>
              </w:rPr>
              <w:t>Одговорно лице</w:t>
            </w:r>
            <w:r w:rsidRPr="00377162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224810" w:rsidRPr="00377162" w:rsidTr="00224810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810" w:rsidRPr="00377162" w:rsidRDefault="0022481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224810" w:rsidRPr="00377162" w:rsidRDefault="00224810" w:rsidP="00224810">
      <w:pPr>
        <w:jc w:val="both"/>
        <w:rPr>
          <w:rFonts w:ascii="Arial" w:hAnsi="Arial" w:cs="Arial"/>
          <w:lang w:val="sr-Cyrl-CS"/>
        </w:rPr>
      </w:pPr>
    </w:p>
    <w:p w:rsidR="00224810" w:rsidRPr="00C25F02" w:rsidRDefault="00224810" w:rsidP="00224810">
      <w:pPr>
        <w:rPr>
          <w:rFonts w:ascii="Arial" w:hAnsi="Arial" w:cs="Arial"/>
          <w:lang/>
        </w:rPr>
      </w:pPr>
    </w:p>
    <w:p w:rsidR="00224810" w:rsidRPr="00377162" w:rsidRDefault="00224810" w:rsidP="00224810"/>
    <w:p w:rsidR="001757B5" w:rsidRPr="00377162" w:rsidRDefault="001757B5"/>
    <w:sectPr w:rsidR="001757B5" w:rsidRPr="00377162" w:rsidSect="0017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810"/>
    <w:rsid w:val="001757B5"/>
    <w:rsid w:val="00224810"/>
    <w:rsid w:val="00377162"/>
    <w:rsid w:val="004007A3"/>
    <w:rsid w:val="00A27FA5"/>
    <w:rsid w:val="00C2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2014-03-12T12:07:00Z</dcterms:created>
  <dcterms:modified xsi:type="dcterms:W3CDTF">2014-03-13T07:35:00Z</dcterms:modified>
</cp:coreProperties>
</file>